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CD684A" w:rsidP="009B218E">
      <w:pPr>
        <w:jc w:val="both"/>
      </w:pPr>
      <w:hyperlink r:id="rId7"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CD684A" w:rsidP="009B218E">
      <w:pPr>
        <w:jc w:val="both"/>
      </w:pPr>
      <w:hyperlink r:id="rId8" w:history="1">
        <w:r w:rsidR="00643952" w:rsidRPr="00E812B4">
          <w:rPr>
            <w:rStyle w:val="Hypertextovodkaz"/>
          </w:rPr>
          <w:t>http://www.khsolc.cz/2019_nCoV.aspx</w:t>
        </w:r>
      </w:hyperlink>
    </w:p>
    <w:p w:rsidR="00987B72" w:rsidRDefault="00CD684A"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CD684A" w:rsidP="00987B72">
      <w:pPr>
        <w:numPr>
          <w:ilvl w:val="0"/>
          <w:numId w:val="2"/>
        </w:numPr>
        <w:spacing w:before="48" w:after="24" w:line="240" w:lineRule="auto"/>
        <w:textAlignment w:val="center"/>
        <w:rPr>
          <w:color w:val="000000"/>
          <w:sz w:val="18"/>
          <w:szCs w:val="18"/>
        </w:rPr>
      </w:pPr>
      <w:hyperlink r:id="rId10"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CD684A" w:rsidP="00987B72">
      <w:pPr>
        <w:numPr>
          <w:ilvl w:val="0"/>
          <w:numId w:val="2"/>
        </w:numPr>
        <w:spacing w:before="48" w:after="24" w:line="240" w:lineRule="auto"/>
        <w:textAlignment w:val="center"/>
        <w:rPr>
          <w:color w:val="000000"/>
          <w:sz w:val="18"/>
          <w:szCs w:val="18"/>
        </w:rPr>
      </w:pPr>
      <w:hyperlink r:id="rId11"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rsidR="00987B72" w:rsidRDefault="00CD684A"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WHO vyhlásila globální stav zdravotní nouze</w:t>
        </w:r>
      </w:hyperlink>
    </w:p>
    <w:p w:rsidR="00987B72" w:rsidRDefault="00CD684A"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2019-nCoV (zdroj MZ ČR)</w:t>
        </w:r>
      </w:hyperlink>
    </w:p>
    <w:p w:rsidR="00987B72" w:rsidRDefault="00CD684A"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2019-nCoV (zdroj MZČR)</w:t>
        </w:r>
      </w:hyperlink>
    </w:p>
    <w:p w:rsidR="00987B72" w:rsidRDefault="00CD684A"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2019-nCoV (zdroj MZČR)</w:t>
        </w:r>
      </w:hyperlink>
    </w:p>
    <w:p w:rsidR="00987B72" w:rsidRDefault="00CD684A"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2019-nCoV</w:t>
        </w:r>
      </w:hyperlink>
    </w:p>
    <w:p w:rsidR="00987B72" w:rsidRDefault="00CD684A"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pro studenty přijíždějící z Číny</w:t>
        </w:r>
      </w:hyperlink>
    </w:p>
    <w:p w:rsidR="00987B72" w:rsidRDefault="00CD684A"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Doporučení cestovatelům</w:t>
        </w:r>
      </w:hyperlink>
    </w:p>
    <w:p w:rsidR="00987B72" w:rsidRDefault="00CD684A"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Informační leták Letiště Václava Havla </w:t>
        </w:r>
        <w:proofErr w:type="gramStart"/>
        <w:r w:rsidR="00987B72">
          <w:rPr>
            <w:rStyle w:val="Hypertextovodkaz"/>
            <w:sz w:val="18"/>
            <w:szCs w:val="18"/>
          </w:rPr>
          <w:t>Praha k 2019</w:t>
        </w:r>
        <w:proofErr w:type="gramEnd"/>
        <w:r w:rsidR="00987B72">
          <w:rPr>
            <w:rStyle w:val="Hypertextovodkaz"/>
            <w:sz w:val="18"/>
            <w:szCs w:val="18"/>
          </w:rPr>
          <w:t xml:space="preserve">-nCoV </w:t>
        </w:r>
      </w:hyperlink>
    </w:p>
    <w:p w:rsidR="00987B72" w:rsidRDefault="00CD684A"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Oznámení hlavní hygieničky ČR (PDF, 225Kb) </w:t>
        </w:r>
      </w:hyperlink>
    </w:p>
    <w:p w:rsidR="00987B72" w:rsidRDefault="00CD684A"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Algoritmus 2019_nCoV        (aktualizováno </w:t>
        </w:r>
        <w:proofErr w:type="gramStart"/>
        <w:r w:rsidR="00987B72">
          <w:rPr>
            <w:rStyle w:val="Hypertextovodkaz"/>
            <w:sz w:val="18"/>
            <w:szCs w:val="18"/>
          </w:rPr>
          <w:t>24.2.2020</w:t>
        </w:r>
        <w:proofErr w:type="gramEnd"/>
        <w:r w:rsidR="00987B72">
          <w:rPr>
            <w:rStyle w:val="Hypertextovodkaz"/>
            <w:sz w:val="18"/>
            <w:szCs w:val="18"/>
          </w:rPr>
          <w:t>)</w:t>
        </w:r>
      </w:hyperlink>
    </w:p>
    <w:p w:rsidR="00987B72" w:rsidRDefault="00CD684A"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(003) (PDF, 158Kb)</w:t>
        </w:r>
      </w:hyperlink>
    </w:p>
    <w:p w:rsidR="00987B72" w:rsidRDefault="00CD684A"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Hlášení 2019-nCoV- formulář WHO (PDF, 564Kb)</w:t>
        </w:r>
      </w:hyperlink>
    </w:p>
    <w:p w:rsidR="00987B72" w:rsidRDefault="00CD684A"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rsidR="00987B72" w:rsidRDefault="00CD684A"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rsidR="00987B72" w:rsidRDefault="00CD684A"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Žádanka na vyšetření (2019) (21.51 KB)</w:t>
        </w:r>
      </w:hyperlink>
    </w:p>
    <w:p w:rsidR="00987B72" w:rsidRDefault="00CD684A"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rsidR="00987B72" w:rsidRDefault="00CD684A" w:rsidP="00987B72">
      <w:pPr>
        <w:numPr>
          <w:ilvl w:val="0"/>
          <w:numId w:val="2"/>
        </w:numPr>
        <w:spacing w:before="48" w:after="24" w:line="240" w:lineRule="auto"/>
        <w:textAlignment w:val="center"/>
        <w:rPr>
          <w:color w:val="000000"/>
          <w:sz w:val="18"/>
          <w:szCs w:val="18"/>
        </w:rPr>
      </w:pPr>
      <w:hyperlink r:id="rId28"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9"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2019-nCoV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30"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2019-nCoV úmrtnost pouze kolem pěti procent. Český ministr zdravotnictví Adam Vojtěch v lednu uvedl, že smrtnost </w:t>
      </w:r>
      <w:hyperlink r:id="rId31"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CD684A" w:rsidP="009B218E">
      <w:pPr>
        <w:spacing w:after="240" w:line="240" w:lineRule="auto"/>
        <w:jc w:val="both"/>
        <w:rPr>
          <w:rFonts w:eastAsia="Times New Roman"/>
          <w:color w:val="263238"/>
          <w:lang w:eastAsia="cs-CZ"/>
        </w:rPr>
      </w:pPr>
      <w:hyperlink r:id="rId32"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5"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6"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7"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3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lastRenderedPageBreak/>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9"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w:t>
        </w:r>
        <w:proofErr w:type="spellStart"/>
        <w:r w:rsidRPr="009B218E">
          <w:rPr>
            <w:rFonts w:eastAsia="Times New Roman"/>
            <w:color w:val="1B3E7A"/>
            <w:u w:val="single"/>
            <w:lang w:eastAsia="cs-CZ"/>
          </w:rPr>
          <w:t>Facebook</w:t>
        </w:r>
        <w:proofErr w:type="spellEnd"/>
        <w:r w:rsidRPr="009B218E">
          <w:rPr>
            <w:rFonts w:eastAsia="Times New Roman"/>
            <w:color w:val="1B3E7A"/>
            <w:u w:val="single"/>
            <w:lang w:eastAsia="cs-CZ"/>
          </w:rPr>
          <w:t>)</w:t>
        </w:r>
      </w:hyperlink>
    </w:p>
    <w:p w:rsidR="00F20AE8" w:rsidRPr="00F20AE8" w:rsidRDefault="00F20AE8" w:rsidP="009B218E">
      <w:pPr>
        <w:spacing w:after="0" w:line="240" w:lineRule="auto"/>
        <w:jc w:val="both"/>
        <w:rPr>
          <w:rFonts w:eastAsia="Times New Roman"/>
          <w:color w:val="263238"/>
          <w:lang w:eastAsia="cs-CZ"/>
        </w:rPr>
      </w:pPr>
      <w:proofErr w:type="gramStart"/>
      <w:r w:rsidRPr="009B218E">
        <w:rPr>
          <w:rFonts w:eastAsia="Times New Roman"/>
          <w:color w:val="263238"/>
          <w:lang w:eastAsia="cs-CZ"/>
        </w:rPr>
        <w:t>26.ledna</w:t>
      </w:r>
      <w:proofErr w:type="gramEnd"/>
      <w:r w:rsidRPr="009B218E">
        <w:rPr>
          <w:rFonts w:eastAsia="Times New Roman"/>
          <w:color w:val="263238"/>
          <w:lang w:eastAsia="cs-CZ"/>
        </w:rPr>
        <w:t xml:space="preserve"> 2020 v 14:42, příspěvek archivován: </w:t>
      </w:r>
      <w:proofErr w:type="gramStart"/>
      <w:r w:rsidRPr="009B218E">
        <w:rPr>
          <w:rFonts w:eastAsia="Times New Roman"/>
          <w:color w:val="263238"/>
          <w:lang w:eastAsia="cs-CZ"/>
        </w:rPr>
        <w:t>28.ledna</w:t>
      </w:r>
      <w:proofErr w:type="gramEnd"/>
      <w:r w:rsidRPr="009B218E">
        <w:rPr>
          <w:rFonts w:eastAsia="Times New Roman"/>
          <w:color w:val="263238"/>
          <w:lang w:eastAsia="cs-CZ"/>
        </w:rPr>
        <w:t xml:space="preserve">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1"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lastRenderedPageBreak/>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2"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3"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4"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5"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6"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7"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951F3"/>
    <w:rsid w:val="00AD2D11"/>
    <w:rsid w:val="00CD684A"/>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 w:type="paragraph" w:styleId="Textbubliny">
    <w:name w:val="Balloon Text"/>
    <w:basedOn w:val="Normln"/>
    <w:link w:val="TextbublinyChar"/>
    <w:uiPriority w:val="99"/>
    <w:semiHidden/>
    <w:unhideWhenUsed/>
    <w:rsid w:val="00CD68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6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 w:type="paragraph" w:styleId="Textbubliny">
    <w:name w:val="Balloon Text"/>
    <w:basedOn w:val="Normln"/>
    <w:link w:val="TextbublinyChar"/>
    <w:uiPriority w:val="99"/>
    <w:semiHidden/>
    <w:unhideWhenUsed/>
    <w:rsid w:val="00CD68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6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zcr.cz/dokumenty/informace-pro-obcany-v-souvislosti-s-aktualnim-vyskytem-cinskeho-koronaviru-2019_18415_1.html" TargetMode="External"/><Relationship Id="rId18" Type="http://schemas.openxmlformats.org/officeDocument/2006/relationships/hyperlink" Target="http://www.khsolc.cz/files/ncov/Doporu&#269;en&#237;%20pro%20cestovatele%20ecdc%20CZ%20SZU%20final.pdf" TargetMode="External"/><Relationship Id="rId26" Type="http://schemas.openxmlformats.org/officeDocument/2006/relationships/hyperlink" Target="http://www.szu.cz/uploads/documents/CeM/NRLs/chripka/Surveillance/zadanka_od_sezony_2018_19.xlsx" TargetMode="External"/><Relationship Id="rId39" Type="http://schemas.openxmlformats.org/officeDocument/2006/relationships/hyperlink" Target="https://www.facebook.com/photo?fbid=2732377230171903&amp;set=a.157385831004402" TargetMode="External"/><Relationship Id="rId3" Type="http://schemas.microsoft.com/office/2007/relationships/stylesWithEffects" Target="stylesWithEffects.xml"/><Relationship Id="rId21" Type="http://schemas.openxmlformats.org/officeDocument/2006/relationships/hyperlink" Target="http://www.khsolc.cz/files/ncov/Algoritmus.pdf" TargetMode="External"/><Relationship Id="rId34" Type="http://schemas.openxmlformats.org/officeDocument/2006/relationships/image" Target="media/image2.jpeg"/><Relationship Id="rId42" Type="http://schemas.openxmlformats.org/officeDocument/2006/relationships/hyperlink" Target="http://bulovka.cz/informace-pro-obcany-v-souvislosti-s-aktualnim-vyskytem-cinskeho-koronaviru/" TargetMode="External"/><Relationship Id="rId47" Type="http://schemas.openxmlformats.org/officeDocument/2006/relationships/hyperlink" Target="https://www.idnes.cz/zpravy/domaci/otazky-odpovedi-koronavirus-prehledne-virus-cesko-rousky-nakaza.A200128_093553_domaci_lre" TargetMode="External"/><Relationship Id="rId7" Type="http://schemas.openxmlformats.org/officeDocument/2006/relationships/hyperlink" Target="http://www.mzcr.cz/dokumenty/koronavirus-2019-ncov-informace-pro-obcany_18432_4122_1.html" TargetMode="External"/><Relationship Id="rId12" Type="http://schemas.openxmlformats.org/officeDocument/2006/relationships/hyperlink" Target="http://www.mzcr.cz/dokumenty/who-vyhlasila-globalni-stav-zdravotni-nouzecr-rozsiruje-opatreni-na-vsechna-ce_18452_1.html" TargetMode="External"/><Relationship Id="rId17" Type="http://schemas.openxmlformats.org/officeDocument/2006/relationships/hyperlink" Target="http://www.khsolc.cz/files/ncov/Informace%20k%20opat&#345;en&#237;m%20k%20zamezen&#237;%20&#353;&#237;&#345;en&#237;%20n&#225;kazy%20nov&#253;m%20koronavirem-pro%20studenty.pdf" TargetMode="External"/><Relationship Id="rId25" Type="http://schemas.openxmlformats.org/officeDocument/2006/relationships/hyperlink" Target="http://www.mzcr.cz/Soubor.ashx?souborID=40127&amp;typ=application/pdf&amp;nazev=WHO%20case%20definace.pdf" TargetMode="External"/><Relationship Id="rId33" Type="http://schemas.openxmlformats.org/officeDocument/2006/relationships/hyperlink" Target="https://www.idnes.cz/zpravy/domaci/otazky-odpovedi-koronavirus-prehledne-virus-cesko-rousky-nakaza.A200128_093553_domaci_lre/foto/JB80fe43_06D9_BEA1_4086_A6B0_000E19584CBB.jpeg" TargetMode="External"/><Relationship Id="rId38" Type="http://schemas.openxmlformats.org/officeDocument/2006/relationships/image" Target="media/image3.png"/><Relationship Id="rId46" Type="http://schemas.openxmlformats.org/officeDocument/2006/relationships/hyperlink" Target="http://www.mzcr.cz/dokumenty/koronavirus-2019-ncov-aktualni-data_18455_4122_1.html" TargetMode="External"/><Relationship Id="rId2" Type="http://schemas.openxmlformats.org/officeDocument/2006/relationships/styles" Target="styles.xml"/><Relationship Id="rId16" Type="http://schemas.openxmlformats.org/officeDocument/2006/relationships/hyperlink" Target="http://www.khsolc.cz/files/ncov/Informace_pro_personal_ubyt_zar.pdf" TargetMode="External"/><Relationship Id="rId20" Type="http://schemas.openxmlformats.org/officeDocument/2006/relationships/hyperlink" Target="http://www.mzcr.cz/Soubor.ashx?souborID=40128&amp;typ=application/pdf&amp;nazev=Ozn&#225;men&#237;%20hlavn&#237;%20hygieni&#269;ky%20&#268;R.pdf" TargetMode="External"/><Relationship Id="rId29" Type="http://schemas.openxmlformats.org/officeDocument/2006/relationships/hyperlink" Target="https://www.idnes.cz/zpravy/domaci/otazky-odpovedi-koronavirus-prehledne-virus-cesko-rousky-nakaza.A200128_093553_domaci_lre" TargetMode="External"/><Relationship Id="rId41" Type="http://schemas.openxmlformats.org/officeDocument/2006/relationships/hyperlink" Target="https://www.idnes.cz/zpravy/zahranicni/koronavirus-thajsko-lekari-lecba-pacient-hiv-chripka-cina.A200203_101035_zahranicni_jhr"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gisanddata.maps.arcgis.com/apps/opsdashboard/index.html" TargetMode="External"/><Relationship Id="rId24" Type="http://schemas.openxmlformats.org/officeDocument/2006/relationships/hyperlink" Target="http://www.mzcr.cz/Soubor.ashx?souborID=40126&amp;typ=application/pdf&amp;nazev=P&#345;&#237;loha%20Co%20d&#283;lat%20-%20Coronavir.pdf" TargetMode="External"/><Relationship Id="rId32" Type="http://schemas.openxmlformats.org/officeDocument/2006/relationships/hyperlink" Target="https://www.idnes.cz/ekonomika/domaci/rouska-koronavirus-nakaza-ochrana-respirator-ustenka.A200127_104117_ekonomika_svob" TargetMode="External"/><Relationship Id="rId37" Type="http://schemas.openxmlformats.org/officeDocument/2006/relationships/hyperlink" Target="https://gisanddata.maps.arcgis.com/apps/opsdashboard/index.html" TargetMode="External"/><Relationship Id="rId40" Type="http://schemas.openxmlformats.org/officeDocument/2006/relationships/image" Target="media/image4.png"/><Relationship Id="rId45" Type="http://schemas.openxmlformats.org/officeDocument/2006/relationships/hyperlink" Target="http://www.szu.cz/" TargetMode="External"/><Relationship Id="rId5" Type="http://schemas.openxmlformats.org/officeDocument/2006/relationships/webSettings" Target="webSettings.xml"/><Relationship Id="rId15" Type="http://schemas.openxmlformats.org/officeDocument/2006/relationships/hyperlink" Target="http://www.szu.cz/uploads/Epidemiologie/Coronavirus/Advice_to_Health_Care_Workers_about_2019_nCoV_infection_Final_comments_from_EC_CZ.pdf" TargetMode="External"/><Relationship Id="rId23" Type="http://schemas.openxmlformats.org/officeDocument/2006/relationships/hyperlink" Target="http://www.mzcr.cz/Soubor.ashx?souborID=40124&amp;typ=application/pdf&amp;nazev=Hl&#225;&#353;en&#237;%202019-nCoV-%20formul&#225;&#345;%20WHO.pdf" TargetMode="External"/><Relationship Id="rId28" Type="http://schemas.openxmlformats.org/officeDocument/2006/relationships/hyperlink" Target="http://www.szu.cz/uploads/LB/Hygiena_rukou/How_to_Handrub_CZECH_Postup_pro_dezinfekci_rukou_2011.pdf" TargetMode="External"/><Relationship Id="rId36" Type="http://schemas.openxmlformats.org/officeDocument/2006/relationships/hyperlink" Target="http://www.mzcr.cz/dokumenty/koronavirus-2019-ncov-aktualni-data_18455_4122_1.html" TargetMode="External"/><Relationship Id="rId49" Type="http://schemas.openxmlformats.org/officeDocument/2006/relationships/theme" Target="theme/theme1.xml"/><Relationship Id="rId10" Type="http://schemas.openxmlformats.org/officeDocument/2006/relationships/hyperlink" Target="https://www.mzv.cz/jnp/cz/cestujeme/aktualni_doporuceni_a_varovani/korejska_republika_nakaza_koronavirem.html" TargetMode="External"/><Relationship Id="rId19" Type="http://schemas.openxmlformats.org/officeDocument/2006/relationships/hyperlink" Target="http://www.szu.cz/uploads/Epidemiologie/Coronavirus/Prague_Airport_Coronavirus_Information.pdf" TargetMode="External"/><Relationship Id="rId31" Type="http://schemas.openxmlformats.org/officeDocument/2006/relationships/hyperlink" Target="https://www.idnes.cz/zpravy/domaci/koronavirus-snemovna-ods-kdu-csl-top-09-vlada.A200128_115912_domaci_kop" TargetMode="External"/><Relationship Id="rId44" Type="http://schemas.openxmlformats.org/officeDocument/2006/relationships/hyperlink" Target="http://www.hygpraha.cz/dokumenty/informace-k-pripadum-pneumonie-pravdepodobne-spojene-s-novym-koronavirem--wu-chan--cina-4508_4508_161_1.html" TargetMode="External"/><Relationship Id="rId4" Type="http://schemas.openxmlformats.org/officeDocument/2006/relationships/settings" Target="settings.xml"/><Relationship Id="rId9" Type="http://schemas.openxmlformats.org/officeDocument/2006/relationships/hyperlink" Target="https://www.mzv.cz/jnp/cz/cestujeme/aktualni_doporuceni_a_varovani/italie_rozsireni_epidemie_koronaviru.html" TargetMode="External"/><Relationship Id="rId14" Type="http://schemas.openxmlformats.org/officeDocument/2006/relationships/hyperlink" Target="http://www.mzcr.cz/dokumenty/koronavirus-2019-ncov-informace-pro-obcany_18432_4122_1.html" TargetMode="External"/><Relationship Id="rId22" Type="http://schemas.openxmlformats.org/officeDocument/2006/relationships/hyperlink" Target="http://www.mzcr.cz/Soubor.ashx?souborID=40123&amp;typ=application/pdf&amp;nazev=Harmonogram%20vy&#353;et&#345;ov&#225;n&#237;%20nCoV%20NRL%2027012020%20(003).pdf" TargetMode="External"/><Relationship Id="rId27" Type="http://schemas.openxmlformats.org/officeDocument/2006/relationships/hyperlink" Target="http://www.szu.cz/uploads/LB/Hygiena_rukou/How_to_Handwash_CZECH_Postup_pri_myti_rukou_2011.pdf" TargetMode="External"/><Relationship Id="rId30" Type="http://schemas.openxmlformats.org/officeDocument/2006/relationships/hyperlink" Target="https://www.idnes.cz/zpravy/zahranicni/koronavirus-vakcina-cina-who.A200211_171211_zahranicni_tho" TargetMode="External"/><Relationship Id="rId35" Type="http://schemas.openxmlformats.org/officeDocument/2006/relationships/hyperlink" Target="https://www.bbc.com/news/world-asia-china-51540981" TargetMode="External"/><Relationship Id="rId43" Type="http://schemas.openxmlformats.org/officeDocument/2006/relationships/hyperlink" Target="http://www.mzcr.cz/dokumenty/informace-pro-obcany-v-souvislosti-s-aktualnim-vyskytem-cinskeho-koronaviru-2019_18415_1.html" TargetMode="External"/><Relationship Id="rId48" Type="http://schemas.openxmlformats.org/officeDocument/2006/relationships/fontTable" Target="fontTable.xml"/><Relationship Id="rId8" Type="http://schemas.openxmlformats.org/officeDocument/2006/relationships/hyperlink" Target="http://www.khsolc.cz/2019_nCoV.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Niče Luděk</dc:creator>
  <cp:lastModifiedBy>Lubomír Balcárek</cp:lastModifiedBy>
  <cp:revision>2</cp:revision>
  <dcterms:created xsi:type="dcterms:W3CDTF">2020-02-27T13:25:00Z</dcterms:created>
  <dcterms:modified xsi:type="dcterms:W3CDTF">2020-02-27T13:25:00Z</dcterms:modified>
</cp:coreProperties>
</file>